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B5" w:rsidRPr="00027F73" w:rsidRDefault="003C7BB5" w:rsidP="003C7BB5">
      <w:pPr>
        <w:jc w:val="center"/>
        <w:rPr>
          <w:rFonts w:ascii="宋体" w:hAnsi="宋体" w:cs="方正黑体简体"/>
          <w:b/>
          <w:color w:val="000000"/>
          <w:position w:val="4"/>
          <w:sz w:val="32"/>
          <w:szCs w:val="32"/>
          <w:u w:val="single"/>
        </w:rPr>
      </w:pPr>
      <w:r w:rsidRPr="00027F73">
        <w:rPr>
          <w:rFonts w:ascii="宋体" w:hAnsi="宋体" w:cs="方正黑体简体" w:hint="eastAsia"/>
          <w:b/>
          <w:color w:val="000000"/>
          <w:position w:val="4"/>
          <w:sz w:val="32"/>
          <w:szCs w:val="32"/>
          <w:u w:val="single"/>
        </w:rPr>
        <w:t>防空地下室易地建设审批</w:t>
      </w:r>
      <w:r w:rsidR="005E381E">
        <w:rPr>
          <w:rFonts w:ascii="宋体" w:hAnsi="宋体" w:cs="方正黑体简体" w:hint="eastAsia"/>
          <w:b/>
          <w:color w:val="000000"/>
          <w:position w:val="4"/>
          <w:sz w:val="32"/>
          <w:szCs w:val="32"/>
          <w:u w:val="single"/>
        </w:rPr>
        <w:t>服务指南</w:t>
      </w:r>
    </w:p>
    <w:p w:rsidR="003C7BB5" w:rsidRPr="00BF78CA" w:rsidRDefault="003C7BB5" w:rsidP="003C7BB5">
      <w:pPr>
        <w:rPr>
          <w:rFonts w:ascii="宋体" w:hAnsi="宋体"/>
          <w:b/>
          <w:color w:val="000000"/>
          <w:position w:val="4"/>
          <w:sz w:val="24"/>
        </w:rPr>
      </w:pP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47"/>
        <w:gridCol w:w="3205"/>
        <w:gridCol w:w="1149"/>
        <w:gridCol w:w="3234"/>
      </w:tblGrid>
      <w:tr w:rsidR="003C7BB5" w:rsidTr="00F50FBF">
        <w:trPr>
          <w:trHeight w:val="213"/>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bCs/>
                <w:kern w:val="0"/>
                <w:sz w:val="24"/>
              </w:rPr>
              <w:t>承办窗口</w:t>
            </w:r>
          </w:p>
        </w:tc>
        <w:tc>
          <w:tcPr>
            <w:tcW w:w="7588" w:type="dxa"/>
            <w:gridSpan w:val="3"/>
            <w:tcMar>
              <w:top w:w="90" w:type="dxa"/>
              <w:left w:w="90" w:type="dxa"/>
              <w:bottom w:w="90" w:type="dxa"/>
              <w:right w:w="90" w:type="dxa"/>
            </w:tcMar>
            <w:vAlign w:val="center"/>
          </w:tcPr>
          <w:p w:rsidR="003C7BB5" w:rsidRPr="00027F73" w:rsidRDefault="003C7BB5" w:rsidP="00F50FBF">
            <w:pPr>
              <w:widowControl/>
              <w:spacing w:line="360" w:lineRule="exact"/>
              <w:rPr>
                <w:rFonts w:ascii="宋体" w:hAnsi="宋体" w:cs="宋体"/>
                <w:kern w:val="0"/>
                <w:sz w:val="24"/>
              </w:rPr>
            </w:pPr>
            <w:r w:rsidRPr="00027F73">
              <w:rPr>
                <w:rFonts w:ascii="宋体" w:hAnsi="宋体" w:cs="宋体" w:hint="eastAsia"/>
                <w:kern w:val="0"/>
                <w:sz w:val="24"/>
              </w:rPr>
              <w:t>市政务服务中心基本建设项目综合窗口</w:t>
            </w:r>
          </w:p>
        </w:tc>
      </w:tr>
      <w:tr w:rsidR="003C7BB5" w:rsidTr="003A1565">
        <w:trPr>
          <w:trHeight w:val="794"/>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sz w:val="24"/>
              </w:rPr>
            </w:pPr>
            <w:r w:rsidRPr="00027F73">
              <w:rPr>
                <w:rFonts w:ascii="宋体" w:hAnsi="宋体" w:hint="eastAsia"/>
                <w:sz w:val="24"/>
              </w:rPr>
              <w:t>法定依据</w:t>
            </w:r>
          </w:p>
        </w:tc>
        <w:tc>
          <w:tcPr>
            <w:tcW w:w="7588" w:type="dxa"/>
            <w:gridSpan w:val="3"/>
            <w:tcMar>
              <w:top w:w="90" w:type="dxa"/>
              <w:left w:w="90" w:type="dxa"/>
              <w:bottom w:w="90" w:type="dxa"/>
              <w:right w:w="90" w:type="dxa"/>
            </w:tcMar>
            <w:vAlign w:val="center"/>
          </w:tcPr>
          <w:p w:rsidR="003C7BB5" w:rsidRPr="00027F73" w:rsidRDefault="003C7BB5" w:rsidP="00F50FBF">
            <w:pPr>
              <w:spacing w:line="320" w:lineRule="exact"/>
              <w:rPr>
                <w:rFonts w:ascii="宋体" w:hAnsi="宋体"/>
                <w:sz w:val="24"/>
              </w:rPr>
            </w:pPr>
            <w:r w:rsidRPr="00027F73">
              <w:rPr>
                <w:rFonts w:ascii="宋体" w:hAnsi="宋体" w:hint="eastAsia"/>
                <w:sz w:val="24"/>
              </w:rPr>
              <w:t>1. 山东省实施《中华人民共和国人民防空法》办法（</w:t>
            </w:r>
            <w:smartTag w:uri="urn:schemas-microsoft-com:office:smarttags" w:element="chsdate">
              <w:smartTagPr>
                <w:attr w:name="IsROCDate" w:val="False"/>
                <w:attr w:name="IsLunarDate" w:val="False"/>
                <w:attr w:name="Day" w:val="12"/>
                <w:attr w:name="Month" w:val="10"/>
                <w:attr w:name="Year" w:val="1998"/>
              </w:smartTagPr>
              <w:r w:rsidRPr="00027F73">
                <w:rPr>
                  <w:rFonts w:ascii="宋体" w:hAnsi="宋体" w:hint="eastAsia"/>
                  <w:sz w:val="24"/>
                </w:rPr>
                <w:t>1998年10月12日</w:t>
              </w:r>
            </w:smartTag>
            <w:r w:rsidRPr="00027F73">
              <w:rPr>
                <w:rFonts w:ascii="宋体" w:hAnsi="宋体" w:hint="eastAsia"/>
                <w:sz w:val="24"/>
              </w:rPr>
              <w:t>山东省第九届人大常委会第4次会议通过）</w:t>
            </w:r>
          </w:p>
          <w:p w:rsidR="003C7BB5" w:rsidRPr="00027F73" w:rsidRDefault="003C7BB5" w:rsidP="00F50FBF">
            <w:pPr>
              <w:spacing w:line="320" w:lineRule="exact"/>
              <w:jc w:val="left"/>
              <w:rPr>
                <w:rFonts w:ascii="宋体" w:hAnsi="宋体"/>
                <w:sz w:val="24"/>
              </w:rPr>
            </w:pPr>
            <w:r w:rsidRPr="00027F73">
              <w:rPr>
                <w:rFonts w:ascii="宋体" w:hAnsi="宋体" w:hint="eastAsia"/>
                <w:sz w:val="24"/>
              </w:rPr>
              <w:t>2. 《济宁市人民防空工程建设管理办法》第十四条</w:t>
            </w:r>
          </w:p>
        </w:tc>
      </w:tr>
      <w:tr w:rsidR="003C7BB5" w:rsidTr="00F50FBF">
        <w:trPr>
          <w:trHeight w:val="3171"/>
        </w:trPr>
        <w:tc>
          <w:tcPr>
            <w:tcW w:w="1547" w:type="dxa"/>
            <w:tcMar>
              <w:top w:w="90" w:type="dxa"/>
              <w:left w:w="90" w:type="dxa"/>
              <w:bottom w:w="90" w:type="dxa"/>
              <w:right w:w="90" w:type="dxa"/>
            </w:tcMar>
            <w:vAlign w:val="center"/>
          </w:tcPr>
          <w:p w:rsidR="003C7BB5" w:rsidRPr="00027F73" w:rsidRDefault="003C7BB5" w:rsidP="00F50FBF">
            <w:pPr>
              <w:spacing w:line="320" w:lineRule="exact"/>
              <w:ind w:left="341" w:hangingChars="142" w:hanging="341"/>
              <w:jc w:val="center"/>
              <w:rPr>
                <w:rFonts w:ascii="宋体" w:hAnsi="宋体" w:cs="宋体"/>
                <w:kern w:val="0"/>
                <w:sz w:val="24"/>
              </w:rPr>
            </w:pPr>
            <w:r w:rsidRPr="00027F73">
              <w:rPr>
                <w:rFonts w:ascii="宋体" w:hAnsi="宋体" w:cs="宋体" w:hint="eastAsia"/>
                <w:kern w:val="0"/>
                <w:sz w:val="24"/>
              </w:rPr>
              <w:t>申请条件</w:t>
            </w:r>
          </w:p>
        </w:tc>
        <w:tc>
          <w:tcPr>
            <w:tcW w:w="7588" w:type="dxa"/>
            <w:gridSpan w:val="3"/>
            <w:tcMar>
              <w:top w:w="90" w:type="dxa"/>
              <w:left w:w="90" w:type="dxa"/>
              <w:bottom w:w="90" w:type="dxa"/>
              <w:right w:w="90" w:type="dxa"/>
            </w:tcMar>
            <w:vAlign w:val="center"/>
          </w:tcPr>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1. 建设项目规划方案经市规划局批准通过；</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2. 以下易地建设原因满足至少一条：</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（1）建设项目地面总建筑面积小于</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027F73">
                <w:rPr>
                  <w:rFonts w:ascii="宋体" w:hAnsi="宋体" w:hint="eastAsia"/>
                  <w:sz w:val="24"/>
                </w:rPr>
                <w:t>2000平方米</w:t>
              </w:r>
            </w:smartTag>
            <w:r w:rsidRPr="00027F73">
              <w:rPr>
                <w:rFonts w:ascii="宋体" w:hAnsi="宋体" w:hint="eastAsia"/>
                <w:sz w:val="24"/>
              </w:rPr>
              <w:t xml:space="preserve">（含）                                     </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（2）采用桩基且桩基承台顶面埋置深度小于</w:t>
            </w:r>
            <w:smartTag w:uri="urn:schemas-microsoft-com:office:smarttags" w:element="chmetcnv">
              <w:smartTagPr>
                <w:attr w:name="UnitName" w:val="米"/>
                <w:attr w:name="SourceValue" w:val="3"/>
                <w:attr w:name="HasSpace" w:val="False"/>
                <w:attr w:name="Negative" w:val="False"/>
                <w:attr w:name="NumberType" w:val="1"/>
                <w:attr w:name="TCSC" w:val="0"/>
              </w:smartTagPr>
              <w:r w:rsidRPr="00027F73">
                <w:rPr>
                  <w:rFonts w:ascii="宋体" w:hAnsi="宋体" w:hint="eastAsia"/>
                  <w:sz w:val="24"/>
                </w:rPr>
                <w:t>3米</w:t>
              </w:r>
            </w:smartTag>
            <w:r w:rsidRPr="00027F73">
              <w:rPr>
                <w:rFonts w:ascii="宋体" w:hAnsi="宋体" w:hint="eastAsia"/>
                <w:sz w:val="24"/>
              </w:rPr>
              <w:t xml:space="preserve">　                                        </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（3）建设项目应建防空地下室面积小于一个防护单元（</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027F73">
                <w:rPr>
                  <w:rFonts w:ascii="宋体" w:hAnsi="宋体" w:hint="eastAsia"/>
                  <w:sz w:val="24"/>
                </w:rPr>
                <w:t>2000平方米</w:t>
              </w:r>
            </w:smartTag>
            <w:r w:rsidRPr="00027F73">
              <w:rPr>
                <w:rFonts w:ascii="宋体" w:hAnsi="宋体" w:hint="eastAsia"/>
                <w:sz w:val="24"/>
              </w:rPr>
              <w:t>）</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（4）建设地段房屋或地下管道设施密集，防空地下室不能施工或者难以采取措施保证施工安全</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 xml:space="preserve">（5）改、扩建的建设项目，因无建设用地而无法补建                                     </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 xml:space="preserve">（6）建在流沙、暗河、基岩埋深很浅等地段的项目，因地质条件不适于修建             </w:t>
            </w:r>
          </w:p>
          <w:p w:rsidR="003C7BB5" w:rsidRPr="00027F73" w:rsidRDefault="003C7BB5" w:rsidP="00F50FBF">
            <w:pPr>
              <w:widowControl/>
              <w:spacing w:line="320" w:lineRule="exact"/>
              <w:jc w:val="left"/>
              <w:rPr>
                <w:rFonts w:ascii="宋体" w:hAnsi="宋体"/>
                <w:sz w:val="24"/>
              </w:rPr>
            </w:pPr>
            <w:r w:rsidRPr="00027F73">
              <w:rPr>
                <w:rFonts w:ascii="宋体" w:hAnsi="宋体" w:hint="eastAsia"/>
                <w:sz w:val="24"/>
              </w:rPr>
              <w:t>（7）其他因条件限制无法完成法定建设义务的</w:t>
            </w:r>
          </w:p>
        </w:tc>
      </w:tr>
      <w:tr w:rsidR="003C7BB5" w:rsidTr="003A1565">
        <w:trPr>
          <w:trHeight w:val="2409"/>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申报材料</w:t>
            </w:r>
          </w:p>
        </w:tc>
        <w:tc>
          <w:tcPr>
            <w:tcW w:w="7588" w:type="dxa"/>
            <w:gridSpan w:val="3"/>
            <w:tcMar>
              <w:top w:w="90" w:type="dxa"/>
              <w:left w:w="90" w:type="dxa"/>
              <w:bottom w:w="90" w:type="dxa"/>
              <w:right w:w="90" w:type="dxa"/>
            </w:tcMar>
          </w:tcPr>
          <w:p w:rsidR="003C7BB5" w:rsidRPr="00027F73" w:rsidRDefault="003C7BB5" w:rsidP="00E76200">
            <w:pPr>
              <w:widowControl/>
              <w:spacing w:line="300" w:lineRule="exact"/>
              <w:jc w:val="left"/>
              <w:rPr>
                <w:rFonts w:ascii="宋体" w:hAnsi="宋体"/>
                <w:sz w:val="24"/>
              </w:rPr>
            </w:pPr>
            <w:r w:rsidRPr="00027F73">
              <w:rPr>
                <w:rFonts w:ascii="宋体" w:hAnsi="宋体" w:hint="eastAsia"/>
                <w:sz w:val="24"/>
              </w:rPr>
              <w:t>1.防空地下室易地建设申请表（1份）；</w:t>
            </w:r>
          </w:p>
          <w:p w:rsidR="003C7BB5" w:rsidRPr="00027F73" w:rsidRDefault="003C7BB5" w:rsidP="00E76200">
            <w:pPr>
              <w:widowControl/>
              <w:spacing w:line="300" w:lineRule="exact"/>
              <w:jc w:val="left"/>
              <w:rPr>
                <w:rFonts w:ascii="宋体" w:hAnsi="宋体"/>
                <w:sz w:val="24"/>
              </w:rPr>
            </w:pPr>
            <w:r w:rsidRPr="00027F73">
              <w:rPr>
                <w:rFonts w:ascii="宋体" w:hAnsi="宋体" w:hint="eastAsia"/>
                <w:sz w:val="24"/>
              </w:rPr>
              <w:t>2. 建设项目规划方案平面图（原件1份，复印件1份）；</w:t>
            </w:r>
          </w:p>
          <w:p w:rsidR="003C7BB5" w:rsidRPr="00027F73" w:rsidRDefault="003C7BB5" w:rsidP="00E76200">
            <w:pPr>
              <w:widowControl/>
              <w:spacing w:line="300" w:lineRule="exact"/>
              <w:jc w:val="left"/>
              <w:rPr>
                <w:rFonts w:ascii="宋体" w:hAnsi="宋体"/>
                <w:sz w:val="24"/>
              </w:rPr>
            </w:pPr>
            <w:r w:rsidRPr="00027F73">
              <w:rPr>
                <w:rFonts w:ascii="宋体" w:hAnsi="宋体" w:hint="eastAsia"/>
                <w:sz w:val="24"/>
              </w:rPr>
              <w:t>3.建设项目建筑面积明细表（1份）（设计单位盖章）；</w:t>
            </w:r>
          </w:p>
          <w:p w:rsidR="003C7BB5" w:rsidRPr="00027F73" w:rsidRDefault="003C7BB5" w:rsidP="00E76200">
            <w:pPr>
              <w:widowControl/>
              <w:spacing w:line="300" w:lineRule="exact"/>
              <w:jc w:val="left"/>
              <w:rPr>
                <w:rFonts w:ascii="宋体" w:hAnsi="宋体"/>
                <w:sz w:val="24"/>
              </w:rPr>
            </w:pPr>
            <w:r w:rsidRPr="00027F73">
              <w:rPr>
                <w:rFonts w:ascii="宋体" w:hAnsi="宋体" w:hint="eastAsia"/>
                <w:sz w:val="24"/>
              </w:rPr>
              <w:t>4.山东省非税收入缴款票据；</w:t>
            </w:r>
          </w:p>
          <w:p w:rsidR="003C7BB5" w:rsidRPr="00027F73" w:rsidRDefault="003C7BB5" w:rsidP="00E76200">
            <w:pPr>
              <w:widowControl/>
              <w:spacing w:line="300" w:lineRule="exact"/>
              <w:jc w:val="left"/>
              <w:rPr>
                <w:rFonts w:ascii="宋体" w:hAnsi="宋体"/>
                <w:sz w:val="24"/>
              </w:rPr>
            </w:pPr>
            <w:r w:rsidRPr="00027F73">
              <w:rPr>
                <w:rFonts w:ascii="宋体" w:hAnsi="宋体" w:hint="eastAsia"/>
                <w:sz w:val="24"/>
              </w:rPr>
              <w:t>5.地质勘察报告（复印件1份，建设单位、勘察单位签字、盖章，因地质条件不适于修建时需要）；</w:t>
            </w:r>
          </w:p>
          <w:p w:rsidR="003C7BB5" w:rsidRPr="00027F73" w:rsidRDefault="003C7BB5" w:rsidP="00E76200">
            <w:pPr>
              <w:widowControl/>
              <w:spacing w:line="300" w:lineRule="exact"/>
              <w:jc w:val="left"/>
              <w:rPr>
                <w:rFonts w:ascii="宋体" w:hAnsi="宋体"/>
                <w:sz w:val="24"/>
              </w:rPr>
            </w:pPr>
            <w:r>
              <w:rPr>
                <w:rFonts w:ascii="宋体" w:hAnsi="宋体" w:hint="eastAsia"/>
                <w:sz w:val="24"/>
              </w:rPr>
              <w:t>6.</w:t>
            </w:r>
            <w:r w:rsidRPr="00027F73">
              <w:rPr>
                <w:rFonts w:ascii="宋体" w:hAnsi="宋体" w:hint="eastAsia"/>
                <w:sz w:val="24"/>
              </w:rPr>
              <w:t>专家论证意见（情况不明确，难以判断是否适合易地建设时需要）。</w:t>
            </w:r>
          </w:p>
          <w:p w:rsidR="003C7BB5" w:rsidRPr="00027F73" w:rsidRDefault="003C7BB5" w:rsidP="00E76200">
            <w:pPr>
              <w:widowControl/>
              <w:spacing w:line="300" w:lineRule="exact"/>
              <w:jc w:val="left"/>
              <w:rPr>
                <w:rFonts w:ascii="宋体" w:hAnsi="宋体"/>
                <w:sz w:val="24"/>
              </w:rPr>
            </w:pPr>
            <w:r w:rsidRPr="00027F73">
              <w:rPr>
                <w:rFonts w:ascii="宋体" w:hAnsi="宋体" w:hint="eastAsia"/>
                <w:sz w:val="24"/>
              </w:rPr>
              <w:t>注：以上纸质版均需加盖申请单位公章；1-3项材料需同时提交电子版。</w:t>
            </w:r>
          </w:p>
        </w:tc>
      </w:tr>
      <w:tr w:rsidR="003C7BB5" w:rsidTr="00F50FBF">
        <w:trPr>
          <w:trHeight w:val="2717"/>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办理流程</w:t>
            </w:r>
          </w:p>
        </w:tc>
        <w:tc>
          <w:tcPr>
            <w:tcW w:w="7588" w:type="dxa"/>
            <w:gridSpan w:val="3"/>
            <w:tcMar>
              <w:top w:w="90" w:type="dxa"/>
              <w:left w:w="90" w:type="dxa"/>
              <w:bottom w:w="90" w:type="dxa"/>
              <w:right w:w="90" w:type="dxa"/>
            </w:tcMar>
            <w:vAlign w:val="center"/>
          </w:tcPr>
          <w:p w:rsidR="00E76200" w:rsidRPr="00E76200" w:rsidRDefault="00E76200" w:rsidP="00E76200">
            <w:pPr>
              <w:widowControl/>
              <w:spacing w:line="300" w:lineRule="exact"/>
              <w:jc w:val="left"/>
              <w:rPr>
                <w:rFonts w:ascii="宋体" w:hAnsi="宋体"/>
                <w:sz w:val="24"/>
              </w:rPr>
            </w:pPr>
            <w:r w:rsidRPr="00E76200">
              <w:rPr>
                <w:rFonts w:ascii="宋体" w:hAnsi="宋体" w:hint="eastAsia"/>
                <w:sz w:val="24"/>
              </w:rPr>
              <w:t>1.受理：项目申报单位于山东政务服务网提报申请材料或向市政务服务中心基本建设窗口提交申报材料，综合窗口受理出具受理通知书，并分发至市人防办工作人员审核；</w:t>
            </w:r>
          </w:p>
          <w:p w:rsidR="00E76200" w:rsidRPr="00E76200" w:rsidRDefault="00E76200" w:rsidP="00E76200">
            <w:pPr>
              <w:widowControl/>
              <w:spacing w:line="300" w:lineRule="exact"/>
              <w:jc w:val="left"/>
              <w:rPr>
                <w:rFonts w:ascii="宋体" w:hAnsi="宋体"/>
                <w:sz w:val="24"/>
              </w:rPr>
            </w:pPr>
            <w:r w:rsidRPr="00E76200">
              <w:rPr>
                <w:rFonts w:ascii="宋体" w:hAnsi="宋体" w:hint="eastAsia"/>
                <w:sz w:val="24"/>
              </w:rPr>
              <w:t>2.审查：市人防办工作人员进行资料审查。对需补正的，当场出具补正材料通知书交综合服务窗口；材料合格，市人防办窗口人员</w:t>
            </w:r>
            <w:r w:rsidR="00F50FBF">
              <w:rPr>
                <w:rFonts w:ascii="宋体" w:hAnsi="宋体" w:hint="eastAsia"/>
                <w:sz w:val="24"/>
              </w:rPr>
              <w:t>1个工作日内</w:t>
            </w:r>
            <w:r w:rsidRPr="00E76200">
              <w:rPr>
                <w:rFonts w:ascii="宋体" w:hAnsi="宋体" w:hint="eastAsia"/>
                <w:sz w:val="24"/>
              </w:rPr>
              <w:t>核算人防工程指标</w:t>
            </w:r>
            <w:r w:rsidR="00F50FBF">
              <w:rPr>
                <w:rFonts w:ascii="宋体" w:hAnsi="宋体" w:hint="eastAsia"/>
                <w:sz w:val="24"/>
              </w:rPr>
              <w:t>，出具《易地建设费缴纳通知书》，申请人至银行缴纳费用</w:t>
            </w:r>
            <w:r w:rsidRPr="00E76200">
              <w:rPr>
                <w:rFonts w:ascii="宋体" w:hAnsi="宋体" w:hint="eastAsia"/>
                <w:sz w:val="24"/>
              </w:rPr>
              <w:t>；</w:t>
            </w:r>
          </w:p>
          <w:p w:rsidR="003C7BB5" w:rsidRPr="00027F73" w:rsidRDefault="00E76200" w:rsidP="00F50FBF">
            <w:pPr>
              <w:widowControl/>
              <w:spacing w:line="300" w:lineRule="exact"/>
              <w:jc w:val="left"/>
              <w:rPr>
                <w:rFonts w:ascii="宋体" w:hAnsi="宋体"/>
                <w:sz w:val="24"/>
              </w:rPr>
            </w:pPr>
            <w:r w:rsidRPr="00E76200">
              <w:rPr>
                <w:rFonts w:ascii="宋体" w:hAnsi="宋体" w:hint="eastAsia"/>
                <w:sz w:val="24"/>
              </w:rPr>
              <w:t>3.审批：市人防办工作人员对</w:t>
            </w:r>
            <w:r w:rsidR="00F50FBF">
              <w:rPr>
                <w:rFonts w:ascii="宋体" w:hAnsi="宋体" w:hint="eastAsia"/>
                <w:sz w:val="24"/>
              </w:rPr>
              <w:t>缴费完毕</w:t>
            </w:r>
            <w:r w:rsidRPr="00E76200">
              <w:rPr>
                <w:rFonts w:ascii="宋体" w:hAnsi="宋体" w:hint="eastAsia"/>
                <w:sz w:val="24"/>
              </w:rPr>
              <w:t>的</w:t>
            </w:r>
            <w:r w:rsidR="00F50FBF">
              <w:rPr>
                <w:rFonts w:ascii="宋体" w:hAnsi="宋体" w:hint="eastAsia"/>
                <w:sz w:val="24"/>
              </w:rPr>
              <w:t>1</w:t>
            </w:r>
            <w:r w:rsidRPr="00E76200">
              <w:rPr>
                <w:rFonts w:ascii="宋体" w:hAnsi="宋体" w:hint="eastAsia"/>
                <w:sz w:val="24"/>
              </w:rPr>
              <w:t>个工作日内作出批复，送中心发证窗口统一邮寄或现场发放。</w:t>
            </w:r>
          </w:p>
        </w:tc>
      </w:tr>
      <w:tr w:rsidR="003C7BB5" w:rsidTr="00F50FBF">
        <w:trPr>
          <w:trHeight w:val="476"/>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收费依据</w:t>
            </w:r>
          </w:p>
        </w:tc>
        <w:tc>
          <w:tcPr>
            <w:tcW w:w="3205" w:type="dxa"/>
            <w:tcMar>
              <w:top w:w="90" w:type="dxa"/>
              <w:left w:w="90" w:type="dxa"/>
              <w:bottom w:w="90" w:type="dxa"/>
              <w:right w:w="90" w:type="dxa"/>
            </w:tcMar>
            <w:vAlign w:val="center"/>
          </w:tcPr>
          <w:p w:rsidR="003C7BB5" w:rsidRPr="00027F73" w:rsidRDefault="003C7BB5" w:rsidP="00F50FBF">
            <w:pPr>
              <w:widowControl/>
              <w:spacing w:line="320" w:lineRule="exact"/>
              <w:rPr>
                <w:rFonts w:ascii="宋体" w:hAnsi="宋体" w:cs="宋体"/>
                <w:kern w:val="0"/>
                <w:sz w:val="24"/>
              </w:rPr>
            </w:pPr>
            <w:r w:rsidRPr="00027F73">
              <w:rPr>
                <w:rFonts w:ascii="宋体" w:hAnsi="宋体" w:cs="宋体" w:hint="eastAsia"/>
                <w:kern w:val="0"/>
                <w:sz w:val="24"/>
              </w:rPr>
              <w:t>济价费字[2017]7号</w:t>
            </w:r>
          </w:p>
        </w:tc>
        <w:tc>
          <w:tcPr>
            <w:tcW w:w="1149" w:type="dxa"/>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收费标准</w:t>
            </w:r>
          </w:p>
        </w:tc>
        <w:tc>
          <w:tcPr>
            <w:tcW w:w="3234" w:type="dxa"/>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6级及以上2000元/m</w:t>
            </w:r>
            <w:r w:rsidRPr="00027F73">
              <w:rPr>
                <w:rFonts w:ascii="宋体" w:hAnsi="宋体" w:cs="宋体" w:hint="eastAsia"/>
                <w:kern w:val="0"/>
                <w:sz w:val="24"/>
                <w:vertAlign w:val="superscript"/>
              </w:rPr>
              <w:t>2</w:t>
            </w:r>
          </w:p>
          <w:p w:rsidR="003C7BB5" w:rsidRPr="00027F73" w:rsidRDefault="003C7BB5" w:rsidP="00F50FBF">
            <w:pPr>
              <w:widowControl/>
              <w:spacing w:line="320" w:lineRule="exact"/>
              <w:jc w:val="center"/>
              <w:rPr>
                <w:rFonts w:ascii="宋体" w:hAnsi="宋体" w:cs="宋体"/>
                <w:spacing w:val="-4"/>
                <w:kern w:val="0"/>
                <w:sz w:val="24"/>
              </w:rPr>
            </w:pPr>
            <w:r w:rsidRPr="00027F73">
              <w:rPr>
                <w:rFonts w:ascii="宋体" w:hAnsi="宋体" w:cs="宋体" w:hint="eastAsia"/>
                <w:kern w:val="0"/>
                <w:sz w:val="24"/>
              </w:rPr>
              <w:t>6B级600元/m</w:t>
            </w:r>
            <w:r w:rsidRPr="00027F73">
              <w:rPr>
                <w:rFonts w:ascii="宋体" w:hAnsi="宋体" w:cs="宋体" w:hint="eastAsia"/>
                <w:kern w:val="0"/>
                <w:sz w:val="24"/>
                <w:vertAlign w:val="superscript"/>
              </w:rPr>
              <w:t>2</w:t>
            </w:r>
          </w:p>
        </w:tc>
      </w:tr>
      <w:tr w:rsidR="003C7BB5" w:rsidTr="00F50FBF">
        <w:trPr>
          <w:trHeight w:val="212"/>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法定时限</w:t>
            </w:r>
          </w:p>
        </w:tc>
        <w:tc>
          <w:tcPr>
            <w:tcW w:w="3205"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spacing w:val="-4"/>
                <w:kern w:val="0"/>
                <w:sz w:val="24"/>
              </w:rPr>
              <w:t>20个工作日</w:t>
            </w:r>
          </w:p>
        </w:tc>
        <w:tc>
          <w:tcPr>
            <w:tcW w:w="1149" w:type="dxa"/>
            <w:vAlign w:val="center"/>
          </w:tcPr>
          <w:p w:rsidR="003C7BB5" w:rsidRPr="00027F73" w:rsidRDefault="003C7BB5" w:rsidP="00F50FBF">
            <w:pPr>
              <w:widowControl/>
              <w:spacing w:line="320" w:lineRule="exact"/>
              <w:jc w:val="center"/>
              <w:rPr>
                <w:rFonts w:ascii="宋体" w:hAnsi="宋体" w:cs="宋体"/>
                <w:kern w:val="0"/>
                <w:sz w:val="24"/>
              </w:rPr>
            </w:pPr>
            <w:r w:rsidRPr="00027F73">
              <w:rPr>
                <w:rFonts w:ascii="宋体" w:hAnsi="宋体" w:cs="宋体" w:hint="eastAsia"/>
                <w:kern w:val="0"/>
                <w:sz w:val="24"/>
              </w:rPr>
              <w:t>承诺时限</w:t>
            </w:r>
          </w:p>
        </w:tc>
        <w:tc>
          <w:tcPr>
            <w:tcW w:w="3234" w:type="dxa"/>
            <w:vAlign w:val="center"/>
          </w:tcPr>
          <w:p w:rsidR="003C7BB5" w:rsidRPr="00027F73" w:rsidRDefault="00ED5B93" w:rsidP="00F50FBF">
            <w:pPr>
              <w:widowControl/>
              <w:spacing w:line="320" w:lineRule="exact"/>
              <w:jc w:val="center"/>
              <w:rPr>
                <w:rFonts w:ascii="宋体" w:hAnsi="宋体" w:cs="宋体"/>
                <w:kern w:val="0"/>
                <w:sz w:val="24"/>
              </w:rPr>
            </w:pPr>
            <w:r>
              <w:rPr>
                <w:rFonts w:ascii="宋体" w:hAnsi="宋体" w:cs="宋体" w:hint="eastAsia"/>
                <w:spacing w:val="-4"/>
                <w:kern w:val="0"/>
                <w:sz w:val="24"/>
              </w:rPr>
              <w:t>2</w:t>
            </w:r>
            <w:r w:rsidR="003C7BB5" w:rsidRPr="00027F73">
              <w:rPr>
                <w:rFonts w:ascii="宋体" w:hAnsi="宋体" w:cs="宋体" w:hint="eastAsia"/>
                <w:spacing w:val="-4"/>
                <w:kern w:val="0"/>
                <w:sz w:val="24"/>
              </w:rPr>
              <w:t>个工作日</w:t>
            </w:r>
          </w:p>
        </w:tc>
      </w:tr>
      <w:tr w:rsidR="003C7BB5" w:rsidTr="00F50FBF">
        <w:trPr>
          <w:trHeight w:val="173"/>
        </w:trPr>
        <w:tc>
          <w:tcPr>
            <w:tcW w:w="1547" w:type="dxa"/>
            <w:tcMar>
              <w:top w:w="90" w:type="dxa"/>
              <w:left w:w="90" w:type="dxa"/>
              <w:bottom w:w="90" w:type="dxa"/>
              <w:right w:w="90" w:type="dxa"/>
            </w:tcMar>
            <w:vAlign w:val="center"/>
          </w:tcPr>
          <w:p w:rsidR="003C7BB5" w:rsidRPr="00027F73" w:rsidRDefault="003C7BB5" w:rsidP="00F50FBF">
            <w:pPr>
              <w:widowControl/>
              <w:spacing w:line="320" w:lineRule="exact"/>
              <w:jc w:val="center"/>
              <w:rPr>
                <w:rFonts w:ascii="宋体" w:hAnsi="宋体"/>
                <w:kern w:val="0"/>
                <w:sz w:val="24"/>
              </w:rPr>
            </w:pPr>
            <w:r w:rsidRPr="00027F73">
              <w:rPr>
                <w:rFonts w:ascii="宋体" w:hAnsi="宋体" w:hint="eastAsia"/>
                <w:kern w:val="0"/>
                <w:sz w:val="24"/>
              </w:rPr>
              <w:t>联系电话</w:t>
            </w:r>
          </w:p>
        </w:tc>
        <w:tc>
          <w:tcPr>
            <w:tcW w:w="3205" w:type="dxa"/>
            <w:tcMar>
              <w:top w:w="90" w:type="dxa"/>
              <w:left w:w="90" w:type="dxa"/>
              <w:bottom w:w="90" w:type="dxa"/>
              <w:right w:w="90" w:type="dxa"/>
            </w:tcMar>
            <w:vAlign w:val="center"/>
          </w:tcPr>
          <w:p w:rsidR="003C7BB5" w:rsidRPr="00027F73" w:rsidRDefault="003C7BB5" w:rsidP="00F50FBF">
            <w:pPr>
              <w:spacing w:line="320" w:lineRule="exact"/>
              <w:jc w:val="center"/>
              <w:textAlignment w:val="bottom"/>
              <w:rPr>
                <w:rFonts w:ascii="宋体" w:hAnsi="宋体"/>
                <w:kern w:val="0"/>
                <w:sz w:val="24"/>
              </w:rPr>
            </w:pPr>
            <w:r w:rsidRPr="00027F73">
              <w:rPr>
                <w:rFonts w:ascii="宋体" w:hAnsi="宋体" w:hint="eastAsia"/>
                <w:kern w:val="0"/>
                <w:sz w:val="24"/>
              </w:rPr>
              <w:t>0537-2363685</w:t>
            </w:r>
          </w:p>
        </w:tc>
        <w:tc>
          <w:tcPr>
            <w:tcW w:w="1149" w:type="dxa"/>
            <w:vAlign w:val="center"/>
          </w:tcPr>
          <w:p w:rsidR="003C7BB5" w:rsidRPr="00027F73" w:rsidRDefault="003C7BB5" w:rsidP="00F50FBF">
            <w:pPr>
              <w:spacing w:line="320" w:lineRule="exact"/>
              <w:ind w:left="120"/>
              <w:jc w:val="center"/>
              <w:textAlignment w:val="bottom"/>
              <w:rPr>
                <w:rFonts w:ascii="宋体" w:hAnsi="宋体"/>
                <w:kern w:val="0"/>
                <w:sz w:val="24"/>
              </w:rPr>
            </w:pPr>
            <w:r w:rsidRPr="00027F73">
              <w:rPr>
                <w:rFonts w:ascii="宋体" w:hAnsi="宋体" w:hint="eastAsia"/>
                <w:kern w:val="0"/>
                <w:sz w:val="24"/>
              </w:rPr>
              <w:t>投诉电话</w:t>
            </w:r>
          </w:p>
        </w:tc>
        <w:tc>
          <w:tcPr>
            <w:tcW w:w="3234" w:type="dxa"/>
            <w:vAlign w:val="center"/>
          </w:tcPr>
          <w:p w:rsidR="003C7BB5" w:rsidRPr="00027F73" w:rsidRDefault="003C7BB5" w:rsidP="00F50FBF">
            <w:pPr>
              <w:spacing w:line="320" w:lineRule="exact"/>
              <w:ind w:firstLineChars="350" w:firstLine="840"/>
              <w:textAlignment w:val="bottom"/>
              <w:rPr>
                <w:rFonts w:ascii="宋体" w:hAnsi="宋体"/>
                <w:kern w:val="0"/>
                <w:sz w:val="24"/>
              </w:rPr>
            </w:pPr>
            <w:r w:rsidRPr="00027F73">
              <w:rPr>
                <w:rFonts w:ascii="宋体" w:hAnsi="宋体" w:hint="eastAsia"/>
                <w:kern w:val="0"/>
                <w:sz w:val="24"/>
              </w:rPr>
              <w:t>0537—2367836</w:t>
            </w:r>
          </w:p>
        </w:tc>
      </w:tr>
    </w:tbl>
    <w:p w:rsidR="003C7BB5" w:rsidRDefault="003C7BB5" w:rsidP="003C7BB5"/>
    <w:sectPr w:rsidR="003C7BB5" w:rsidSect="00705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7A" w:rsidRDefault="0003467A" w:rsidP="00ED5B93">
      <w:r>
        <w:separator/>
      </w:r>
    </w:p>
  </w:endnote>
  <w:endnote w:type="continuationSeparator" w:id="0">
    <w:p w:rsidR="0003467A" w:rsidRDefault="0003467A" w:rsidP="00ED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7A" w:rsidRDefault="0003467A" w:rsidP="00ED5B93">
      <w:r>
        <w:separator/>
      </w:r>
    </w:p>
  </w:footnote>
  <w:footnote w:type="continuationSeparator" w:id="0">
    <w:p w:rsidR="0003467A" w:rsidRDefault="0003467A" w:rsidP="00ED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2C8"/>
    <w:multiLevelType w:val="hybridMultilevel"/>
    <w:tmpl w:val="5DE6BF1C"/>
    <w:lvl w:ilvl="0" w:tplc="169807D2">
      <w:start w:val="1"/>
      <w:numFmt w:val="decimal"/>
      <w:lvlText w:val="%1、"/>
      <w:lvlJc w:val="left"/>
      <w:pPr>
        <w:ind w:left="720" w:hanging="720"/>
      </w:pPr>
      <w:rPr>
        <w:rFonts w:hint="default"/>
        <w:color w:val="FF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B5"/>
    <w:rsid w:val="000204D2"/>
    <w:rsid w:val="0003467A"/>
    <w:rsid w:val="001F0CA5"/>
    <w:rsid w:val="00250DEB"/>
    <w:rsid w:val="003A1565"/>
    <w:rsid w:val="003C7BB5"/>
    <w:rsid w:val="00420499"/>
    <w:rsid w:val="005E381E"/>
    <w:rsid w:val="006D1E4C"/>
    <w:rsid w:val="00705277"/>
    <w:rsid w:val="00A21FA0"/>
    <w:rsid w:val="00B743DF"/>
    <w:rsid w:val="00DE5CDC"/>
    <w:rsid w:val="00E76200"/>
    <w:rsid w:val="00ED5B93"/>
    <w:rsid w:val="00EE4A2D"/>
    <w:rsid w:val="00F50FBF"/>
    <w:rsid w:val="00F860F2"/>
    <w:rsid w:val="00FE0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B93"/>
    <w:rPr>
      <w:rFonts w:ascii="Times New Roman" w:eastAsia="宋体" w:hAnsi="Times New Roman" w:cs="Times New Roman"/>
      <w:sz w:val="18"/>
      <w:szCs w:val="18"/>
    </w:rPr>
  </w:style>
  <w:style w:type="paragraph" w:styleId="a4">
    <w:name w:val="footer"/>
    <w:basedOn w:val="a"/>
    <w:link w:val="Char0"/>
    <w:uiPriority w:val="99"/>
    <w:semiHidden/>
    <w:unhideWhenUsed/>
    <w:rsid w:val="00ED5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B93"/>
    <w:rPr>
      <w:rFonts w:ascii="Times New Roman" w:eastAsia="宋体" w:hAnsi="Times New Roman" w:cs="Times New Roman"/>
      <w:sz w:val="18"/>
      <w:szCs w:val="18"/>
    </w:rPr>
  </w:style>
  <w:style w:type="paragraph" w:styleId="a5">
    <w:name w:val="List Paragraph"/>
    <w:basedOn w:val="a"/>
    <w:uiPriority w:val="34"/>
    <w:qFormat/>
    <w:rsid w:val="00E76200"/>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2018-08-13T07:29:00Z</dcterms:created>
  <dcterms:modified xsi:type="dcterms:W3CDTF">2018-08-24T01:04:00Z</dcterms:modified>
</cp:coreProperties>
</file>