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行政执法案件基本信息</w:t>
      </w:r>
    </w:p>
    <w:tbl>
      <w:tblPr>
        <w:tblStyle w:val="4"/>
        <w:tblW w:w="14375" w:type="dxa"/>
        <w:tblCellSpacing w:w="15"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39"/>
        <w:gridCol w:w="7600"/>
        <w:gridCol w:w="2442"/>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3"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基本信息</w:t>
            </w:r>
            <w:r>
              <w:rPr>
                <w:rFonts w:hint="eastAsia" w:ascii="方正楷体_GBK" w:hAnsi="方正楷体_GBK" w:eastAsia="方正楷体_GBK" w:cs="方正楷体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案件名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关于对九巨龙房地产开发集团有限公司未按照国家规定的建设程序建设人防工程违法行为的处罚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1" w:hRule="atLeast"/>
          <w:tblCellSpacing w:w="15" w:type="dxa"/>
        </w:trPr>
        <w:tc>
          <w:tcPr>
            <w:tcW w:w="1339" w:type="dxa"/>
            <w:shd w:val="clear" w:color="auto" w:fill="auto"/>
            <w:vAlign w:val="center"/>
          </w:tcPr>
          <w:p>
            <w:r>
              <w:rPr>
                <w:rFonts w:hint="eastAsia" w:ascii="方正楷体_GBK" w:hAnsi="方正楷体_GBK" w:eastAsia="方正楷体_GBK" w:cs="方正楷体_GBK"/>
              </w:rPr>
              <w:t>主要违法事实</w:t>
            </w:r>
            <w:r>
              <w:t xml:space="preserve">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九巨龙房地产开发集团有限公司建设的国尊府项目未按照国家规定的建设程序建设人防工程，经查，违法行为属实，根据人防相关法律法规予以立案处理。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作出处罚的机关名称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济宁市国防动员办公室</w:t>
            </w:r>
          </w:p>
        </w:tc>
        <w:tc>
          <w:tcPr>
            <w:tcW w:w="0" w:type="auto"/>
            <w:shd w:val="clear" w:color="auto" w:fill="auto"/>
            <w:vAlign w:val="center"/>
          </w:tcPr>
          <w:p>
            <w:r>
              <w:rPr>
                <w:rFonts w:hint="eastAsia" w:ascii="方正楷体_GBK" w:hAnsi="方正楷体_GBK" w:eastAsia="方正楷体_GBK" w:cs="方正楷体_GBK"/>
              </w:rPr>
              <w:t xml:space="preserve">处罚有效期 </w:t>
            </w:r>
          </w:p>
        </w:tc>
        <w:tc>
          <w:tcPr>
            <w:tcW w:w="2725" w:type="dxa"/>
            <w:shd w:val="clear" w:color="auto" w:fill="auto"/>
            <w:vAlign w:val="center"/>
          </w:tcPr>
          <w:p>
            <w:r>
              <w:rPr>
                <w:rFonts w:hint="default" w:ascii="Times New Roman" w:hAnsi="Times New Roman" w:cs="Times New Roman"/>
              </w:rPr>
              <w:t xml:space="preserve">2099-12-31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公示截止期 </w:t>
            </w:r>
          </w:p>
        </w:tc>
        <w:tc>
          <w:tcPr>
            <w:tcW w:w="12946" w:type="dxa"/>
            <w:gridSpan w:val="3"/>
            <w:shd w:val="clear" w:color="auto" w:fill="auto"/>
            <w:vAlign w:val="center"/>
          </w:tcPr>
          <w:p>
            <w:r>
              <w:rPr>
                <w:rFonts w:hint="default" w:ascii="Times New Roman" w:hAnsi="Times New Roman" w:cs="Times New Roman"/>
              </w:rPr>
              <w:t>202</w:t>
            </w:r>
            <w:r>
              <w:rPr>
                <w:rFonts w:hint="eastAsia"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val="en-US" w:eastAsia="zh-CN"/>
              </w:rPr>
              <w:t>02</w:t>
            </w:r>
            <w:r>
              <w:rPr>
                <w:rFonts w:hint="default" w:ascii="Times New Roman" w:hAnsi="Times New Roman" w:cs="Times New Roman"/>
              </w:rPr>
              <w:t>-</w:t>
            </w:r>
            <w:r>
              <w:rPr>
                <w:rFonts w:hint="eastAsia" w:ascii="Times New Roman" w:hAnsi="Times New Roman" w:cs="Times New Roman"/>
                <w:lang w:val="en-US" w:eastAsia="zh-CN"/>
              </w:rPr>
              <w:t>24</w:t>
            </w: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 xml:space="preserve">行政相对人处罚信息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4"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行政相对人名称 </w:t>
            </w:r>
          </w:p>
        </w:tc>
        <w:tc>
          <w:tcPr>
            <w:tcW w:w="7241" w:type="dxa"/>
            <w:shd w:val="clear" w:color="auto" w:fill="auto"/>
            <w:vAlign w:val="center"/>
          </w:tcPr>
          <w:p>
            <w:r>
              <w:rPr>
                <w:rFonts w:hint="eastAsia" w:ascii="方正仿宋简体" w:hAnsi="方正仿宋简体" w:eastAsia="方正仿宋简体" w:cs="方正仿宋简体"/>
                <w:b w:val="0"/>
                <w:bCs w:val="0"/>
                <w:lang w:val="en-US" w:eastAsia="zh-CN"/>
              </w:rPr>
              <w:t>九巨龙房地产开发集团有限公司</w:t>
            </w:r>
          </w:p>
        </w:tc>
        <w:tc>
          <w:tcPr>
            <w:tcW w:w="0" w:type="auto"/>
            <w:shd w:val="clear" w:color="auto" w:fill="auto"/>
            <w:vAlign w:val="center"/>
          </w:tcPr>
          <w:p>
            <w:r>
              <w:rPr>
                <w:rFonts w:hint="eastAsia" w:ascii="方正楷体_GBK" w:hAnsi="方正楷体_GBK" w:eastAsia="方正楷体_GBK" w:cs="方正楷体_GBK"/>
              </w:rPr>
              <w:t xml:space="preserve">法定代表人和负责人姓名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徐衍博</w:t>
            </w:r>
            <w:r>
              <w:rPr>
                <w:rFonts w:hint="eastAsia" w:ascii="方正仿宋简体" w:hAnsi="方正仿宋简体" w:eastAsia="方正仿宋简体" w:cs="方正仿宋简体"/>
                <w:b w:val="0"/>
                <w:bCs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统一社会信用代码 </w:t>
            </w:r>
          </w:p>
        </w:tc>
        <w:tc>
          <w:tcPr>
            <w:tcW w:w="7241" w:type="dxa"/>
            <w:shd w:val="clear" w:color="auto" w:fill="auto"/>
            <w:vAlign w:val="center"/>
          </w:tcPr>
          <w:p>
            <w:pPr>
              <w:rPr>
                <w:rFonts w:hint="default"/>
                <w:lang w:val="en-US"/>
              </w:rPr>
            </w:pPr>
            <w:r>
              <w:rPr>
                <w:rFonts w:hint="default" w:ascii="Times New Roman" w:hAnsi="Times New Roman" w:cs="Times New Roman"/>
              </w:rPr>
              <w:t>91370800</w:t>
            </w:r>
            <w:r>
              <w:rPr>
                <w:rFonts w:hint="eastAsia" w:ascii="Times New Roman" w:hAnsi="Times New Roman" w:cs="Times New Roman"/>
                <w:lang w:val="en-US" w:eastAsia="zh-CN"/>
              </w:rPr>
              <w:t>2671192972</w:t>
            </w:r>
          </w:p>
        </w:tc>
        <w:tc>
          <w:tcPr>
            <w:tcW w:w="0" w:type="auto"/>
            <w:shd w:val="clear" w:color="auto" w:fill="auto"/>
            <w:vAlign w:val="center"/>
          </w:tcPr>
          <w:p>
            <w:r>
              <w:rPr>
                <w:rFonts w:hint="eastAsia" w:ascii="方正楷体_GBK" w:hAnsi="方正楷体_GBK" w:eastAsia="方正楷体_GBK" w:cs="方正楷体_GBK"/>
              </w:rPr>
              <w:t xml:space="preserve">处罚决定书文号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济</w:t>
            </w:r>
            <w:r>
              <w:rPr>
                <w:rFonts w:hint="eastAsia" w:ascii="方正仿宋简体" w:hAnsi="方正仿宋简体" w:eastAsia="方正仿宋简体" w:cs="方正仿宋简体"/>
                <w:b w:val="0"/>
                <w:bCs w:val="0"/>
                <w:lang w:val="en-US" w:eastAsia="zh-CN"/>
              </w:rPr>
              <w:t>国动</w:t>
            </w:r>
            <w:r>
              <w:rPr>
                <w:rFonts w:hint="eastAsia" w:ascii="方正仿宋简体" w:hAnsi="方正仿宋简体" w:eastAsia="方正仿宋简体" w:cs="方正仿宋简体"/>
                <w:b w:val="0"/>
                <w:bCs w:val="0"/>
              </w:rPr>
              <w:t>罚</w:t>
            </w:r>
            <w:r>
              <w:rPr>
                <w:rFonts w:hint="eastAsia" w:ascii="Times New Roman" w:hAnsi="Times New Roman" w:cs="Times New Roman"/>
              </w:rPr>
              <w:t>[202</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方正仿宋简体" w:hAnsi="方正仿宋简体" w:eastAsia="方正仿宋简体" w:cs="方正仿宋简体"/>
                <w:b w:val="0"/>
                <w:bCs w:val="0"/>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处罚幅度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一般</w:t>
            </w:r>
          </w:p>
        </w:tc>
        <w:tc>
          <w:tcPr>
            <w:tcW w:w="0" w:type="auto"/>
            <w:shd w:val="clear" w:color="auto" w:fill="auto"/>
            <w:vAlign w:val="center"/>
          </w:tcPr>
          <w:p>
            <w:r>
              <w:rPr>
                <w:rFonts w:hint="eastAsia" w:ascii="方正楷体_GBK" w:hAnsi="方正楷体_GBK" w:eastAsia="方正楷体_GBK" w:cs="方正楷体_GBK"/>
              </w:rPr>
              <w:t xml:space="preserve">处罚种类 </w:t>
            </w:r>
          </w:p>
        </w:tc>
        <w:tc>
          <w:tcPr>
            <w:tcW w:w="2725" w:type="dxa"/>
            <w:shd w:val="clear" w:color="auto" w:fill="auto"/>
            <w:vAlign w:val="center"/>
          </w:tcPr>
          <w:p>
            <w:pPr>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警告</w:t>
            </w:r>
            <w:r>
              <w:rPr>
                <w:rFonts w:hint="eastAsia" w:ascii="方正仿宋简体" w:hAnsi="方正仿宋简体" w:eastAsia="方正仿宋简体" w:cs="方正仿宋简体"/>
                <w:b w:val="0"/>
                <w:bCs w:val="0"/>
                <w:lang w:eastAsia="zh-CN"/>
              </w:rPr>
              <w:t>，</w:t>
            </w:r>
            <w:r>
              <w:rPr>
                <w:rFonts w:hint="eastAsia" w:ascii="方正仿宋简体" w:hAnsi="方正仿宋简体" w:eastAsia="方正仿宋简体" w:cs="方正仿宋简体"/>
                <w:b w:val="0"/>
                <w:bCs w:val="0"/>
                <w:lang w:val="en-US" w:eastAsia="zh-CN"/>
              </w:rPr>
              <w:t>并处10</w:t>
            </w:r>
            <w:bookmarkStart w:id="0" w:name="_GoBack"/>
            <w:bookmarkEnd w:id="0"/>
            <w:r>
              <w:rPr>
                <w:rFonts w:hint="eastAsia" w:ascii="方正仿宋简体" w:hAnsi="方正仿宋简体" w:eastAsia="方正仿宋简体" w:cs="方正仿宋简体"/>
                <w:b w:val="0"/>
                <w:bCs w:val="0"/>
                <w:lang w:val="en-US" w:eastAsia="zh-CN"/>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处罚结果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主动整改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94"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处罚依据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山东省实施〈中华人民共和国人民防空法〉办法》第十五条第一款：“人民防空工程必须按照国家规定的建设程序、设计标准、防护标准和质量标准进行建设。建设单位不得降低人民防空工程的质量标准和防护等级”的规定；第三十九条：“违反本办法第十五条第一款的，由人民防空主管部门对当事人给予警告，并责令限期改正，可以对单位并处一万元至五万元的罚款”</w:t>
            </w:r>
          </w:p>
        </w:tc>
      </w:tr>
    </w:tbl>
    <w:p/>
    <w:sectPr>
      <w:pgSz w:w="16838" w:h="11906" w:orient="landscape"/>
      <w:pgMar w:top="839"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D2E0D"/>
    <w:rsid w:val="216F26E7"/>
    <w:rsid w:val="2C0E27B3"/>
    <w:rsid w:val="32880F34"/>
    <w:rsid w:val="44CA135B"/>
    <w:rsid w:val="4EC82942"/>
    <w:rsid w:val="50DF1EE4"/>
    <w:rsid w:val="530B7E5B"/>
    <w:rsid w:val="687E04A0"/>
    <w:rsid w:val="6B1B65ED"/>
    <w:rsid w:val="75CF7BBC"/>
    <w:rsid w:val="7697053E"/>
    <w:rsid w:val="78323ABA"/>
    <w:rsid w:val="7C2D2E0D"/>
    <w:rsid w:val="7FDB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2024-11-19T06:59:00Z</dcterms:created>
  <dc:creator>Administrator</dc:creator>
  <cp:lastModifiedBy>Administrator</cp:lastModifiedBy>
  <dcterms:modified xsi:type="dcterms:W3CDTF">2025-03-11T07:58:44Z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